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Precise Forecasting of Human Productivity under Behavioral and Biological Constraints using Multi-Modal Deep Learning: A Distributed Multi-Modal Framework</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Critical Literature Reassessment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historical landscape of human performance modeling and affective computing is fundamentally defined by a disciplinary bifurcation that has left a profound schism between the biological sciences and the behavioral sciences. In current industrial and academic paradigms, biological inquiry primarily focuses on the objective quantification of an organism's metabolic and physiological state through high-frequency metrics such as electrocardiograms (ECG), electroencephalograms (EEG), and galvanic skin responses (GSR).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Simultaneously, the behavioral sciences attempt to assess the emergent properties of cognition, social interaction, and productivity through low-frequency, often qualitative observations of linguistic output, task completion rates, and self-reported emotional states.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structural divide has fostered a condition of computational isolation, where the physiological precursors to human error—such as the depletion of glucose in astrocytes or the autonomic hijacking of the prefrontal cortex—are technically observable via sensors yet remain entirely disconnected from the decision-making events and productivity lapses they precipitate.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Limitations of Unimodal Models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failing of current unimodal behavioral models, which rely solely on text logs, speech transcripts, or application usage data, is their treatment of human cognition as an abstract information-processing task rather than a biological function strictly governed by metabolic energy budgets and homeostatic regulation.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Traditional models of decision-making and productivity often assume a constant, or at least a purely psychologically driven, level of human rationality. They fail to account for the "Bio-Energetic Imperative," which posits that cognition is limited by the physical hardware of the brain and its immediate metabolic availability.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instance, System 2 processing—the effortful, logical reasoning required for high-stakes decision-making and productive output—resides primarily in the dorsolateral prefrontal cortex (DLPFC). This region is metabolically expensive to maintain, requiring the mobilization of astrocyte-derived lactate to fuel high neural firing rates.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Unimodal behavioral models perceive a decline in work quality or a shift toward heuristic-driven decision-making (System 1) as a cognitive bias or a failure of intent, ignoring the underlying biological reality that the brain is defaulting to energy-saving mechanisms to conserve ATP and glucose.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Conversely, unimodal physiological models, while adept at quantifying somatic arousal, lack the semantic grounding necessary to interpret the </w:t>
      </w:r>
      <w:r w:rsidDel="00000000" w:rsidR="00000000" w:rsidRPr="00000000">
        <w:rPr>
          <w:rFonts w:ascii="Google Sans Text" w:cs="Google Sans Text" w:eastAsia="Google Sans Text" w:hAnsi="Google Sans Text"/>
          <w:i w:val="1"/>
          <w:iCs w:val="1"/>
          <w:color w:val="1f1f1f"/>
          <w:rtl w:val="0"/>
        </w:rPr>
        <w:t xml:space="preserve">meaning</w:t>
      </w:r>
      <w:r w:rsidDel="00000000" w:rsidR="00000000" w:rsidRPr="00000000">
        <w:rPr>
          <w:rFonts w:ascii="Google Sans Text" w:cs="Google Sans Text" w:eastAsia="Google Sans Text" w:hAnsi="Google Sans Text"/>
          <w:color w:val="1f1f1f"/>
          <w:rtl w:val="0"/>
        </w:rPr>
        <w:t xml:space="preserve"> of those signals within a productivity context. A spike in heart rate or skin conductance is a reliable predictor of arousal, but without linguistic or environmental context, it is impossible for a model to distinguish between "eustress" (the positive stress associated with peak performance and flow) and "distress" (the negative stress leading to burnout).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isolation, physiological signals provide a "hardware status report" but lack the "software context" to explain why a particular state is occurring.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Research indicates that 95% of subjects demonstrate elevated skin conductance prior to a conscious perception of threat, making it a critical leading indicator, yet without semantic fusion, this signal remains an ambiguous anomaly rather than a predictable precursor to performance decline.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traditional unimodal models often neglect the significant biological variance associated with sex, hormonal cycles, and circadian rhythms. Many stress-prediction systems developed between 2020 and 2025 have been critiqued for failing to include hormone-cycle-dependent physiology, which considerably affects autonomic response patterns.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creates a bias in performance forecasting, as models trained on gender-neutral or male-dominated datasets fail to generalize across the physiological diversity of the global workforce, leading to inequitable performance assessments and interventions.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Semantic Gap and Prediction Error in High-Stress Environments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"Semantic Gap" is defined as the fundamental disconnect between internal physiological states and external cognitive or behavioral outcomes.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high-stakes environments such as aviation, surgery, or financial trading, this gap creates a catastrophic predictive chasm. The brain acts as a prediction engine that constructs emotions to minimize "Prediction Error"—the discrepancy between predicted metabolic needs and actual sensory inputs.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When the body enters a high-entropy internal state due to factors like sleep debt, hunger, or chronic social stress, the brain assigns the label of "stress" to this noisy interoceptive signal.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Unimodal systems that focus only on behavioral "sentiment" are inherently reactive, identifying a decline in productivity only after it has manifested in the user's output.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Biological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Behavioral Manifestation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Predictive Error in Unimodal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Metabolic Depletion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Glucose/Lactate depletion in astrocytes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Default to System 1 heuristics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Misinterpreted as laziness or lack of motivation.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Limbic Hijack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Amygdala suppresses PFC blood flow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Collapse of complex planning/regulation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Failure to predict sudden irrationality under threat.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Interoceptive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High-entropy state from sleep debt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Irritability, linguistic fragmentation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Misidentified as a situational emotional reaction.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Leading Indicator 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SCL/HRV shifts precede conscious intent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Behavioral reaction (e.g.,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relies on "lagging" behavioral events.</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acute manifestation of the Semantic Gap in high-stress environments is the "Neural Overthrow" or "Limbic Hijack." Under intense perceived threat—whether physical or social—the amygdala actively suppresses blood flow to the Prefrontal Cortex (PFC), effectively rendering complex planning, emotional regulation, and productive labor biologically impossible.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 unimodal behavioral model sees a "poor decision" or a "lapse in focus," while the underlying biological truth is that the agent’s rational "software" was physically offline due to hardware hijacking.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Additionally, 80% of subjects exhibit bradycardia (heart rate slowing) during the anticipation of a threat, contrary to the popular "fight or flight" tachycardia assumption.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Unimodal systems trained on basic arousal thresholds frequently misidentify these anticipatory "freezing" responses, leading to failures in just-in-time interventions that could have preserved performance stability.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Theoretical Framework: The Human Digital Twin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bridge the Semantic Gap and enable precise productivity forecasting, this framework proposes the construction of a "Human Digital Twin" (HDT). In the context of cognitive productivity, an HDT is not merely a static database of historical performance metrics, but a dynamic, probabilistic, and high-fidelity simulation of the individual, updated in real-time through the integration of multimodal data streams.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HDT serves as a "container" for integrated analysis, modeling the "Bio-Behavioral Feedback Loop" where internal physiological states drive external behaviors (speech, action), which in turn reinforce the internal biological state.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Defining the Human Digital Twin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HDT acts as an auxiliary "digital prefrontal cortex," monitoring the user's metabolic budget and cognitive ceiling to forecast performance trajectories.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synthesizing high-velocity physiological time-series with event-driven semantic inputs, the HDT can pinpoint the exact moment of emotional or cognitive shift.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allows for a transition from the "Quantified Self" (which tells the user how they performed in the past) to the "Predicted Self" (which intervenes before a productivity crash occurs).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HDT incorporates hierarchical models of human function, ranging from the "Survival Hub" (brainstem/amygdala) to the "Executive Controller" (PFC), allowing it to detect when control of behavior has migrated from effortful System 2 processes to automatic System 1 heuristics.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Fused Modalities for Cognitive Productivity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comprehensive HDT requires the fusion of diverse modalities to establish a "grounded" representation of human state. We propose a hierarchical data acquisition strategy that categorizes modalities by their temporal resolution and semantic density.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Modality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Sensors/Data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Metrics and Proxies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Theoretical Grounding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Neurobiological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EEG, fNIRS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Frontal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80144" cy="220396"/>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80144" cy="220396"/>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power,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03882" cy="207763"/>
                  <wp:effectExtent b="0" l="0" r="0" t="0"/>
                  <wp:docPr id="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103882" cy="207763"/>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wave dominance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Cognitive Load, Sleep Pressure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Cardiovascular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ECG, PPG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HRV, Sympathovagal balance, Bradycardia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Stress, Threat Anticipation, Flow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Electrodermal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EDA/GSR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Skin Conductance Level (SCL), Peak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Autonomic Arousal, leading threat indicator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Eye-tracking, Webcam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Pupil dilation, Saccadic rate (hyperscanning)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Engagement, Anxiety, PERCLOS (fatigue)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Chat logs, Audio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Linguistic complexity, Sentiment, Syntax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Cognitive Phenotyping, System 1 Dominance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Behavioral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Keystroke dynamics, App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switching, Latency, Flow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Productivity, Automaticity, Habits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Environmental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GPS, Calendar, IoT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Location context, Social rank, Sleep debt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Situational Context, Circadian Priming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specifically adopts the "Biology as Language" hypothesis, treating continuous biological signals as a sequence of discrete tokens governed by brain syntax.</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allows the HDT to use Transformer-based architectures to predict the "next token" of a user's neural state, facilitating the forecasting of cognitive fatigue minutes before it manifest as a drop in task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To interpret social dynamics, the HDT integrates the SCARF model (Status, Certainty, Autonomy, Relatedness, Fairness).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By monitoring text for markers of "Status threats" (e.g., being interrupted in a meeting) and correlating them with drops in HRV, the twin can detect "Cognitive Dissonance" even when the user remains outwardly polite, thereby predicting future disengagement or turnover.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Model Architecture Proposal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operationalize this theoretical framework, we compare a decision-level baseline against a hybrid fusion architecture that utilizes specialist encoders for biology and semantics.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Baseline Model: Behavioral-Only Transformer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baseline represents the traditional approach to productivity modeling, utilizing a standard Transformer or LSTM architecture trained exclusively on behavioral logs and text.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Layer:</w:t>
      </w:r>
      <w:r w:rsidDel="00000000" w:rsidR="00000000" w:rsidRPr="00000000">
        <w:rPr>
          <w:rFonts w:ascii="Google Sans Text" w:cs="Google Sans Text" w:eastAsia="Google Sans Text" w:hAnsi="Google Sans Text"/>
          <w:color w:val="1f1f1f"/>
          <w:rtl w:val="0"/>
        </w:rPr>
        <w:t xml:space="preserve"> Processes unstructured text logs, task timestamps, and application usage data as a sequential input </w:t>
      </w:r>
      <w:r w:rsidDel="00000000" w:rsidR="00000000" w:rsidRPr="00000000">
        <w:rPr>
          <w:rFonts w:ascii="Google Sans Text" w:cs="Google Sans Text" w:eastAsia="Google Sans Text" w:hAnsi="Google Sans Text"/>
          <w:color w:val="1f1f1f"/>
        </w:rPr>
        <w:drawing>
          <wp:inline distB="19050" distT="19050" distL="19050" distR="19050">
            <wp:extent cx="2099596" cy="229047"/>
            <wp:effectExtent b="0" l="0" r="0" t="0"/>
            <wp:docPr id="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099596" cy="22904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A multi-layer Transformer encoder that learns temporal dependencies in task completion and linguistic sentiment.</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Predicts binary states (e.g., Productive vs. Unproductive) or continuous scores (e.g., Sentiment).</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Limitation:</w:t>
      </w:r>
      <w:r w:rsidDel="00000000" w:rsidR="00000000" w:rsidRPr="00000000">
        <w:rPr>
          <w:rFonts w:ascii="Google Sans Text" w:cs="Google Sans Text" w:eastAsia="Google Sans Text" w:hAnsi="Google Sans Text"/>
          <w:color w:val="1f1f1f"/>
          <w:rtl w:val="0"/>
        </w:rPr>
        <w:t xml:space="preserve"> This model is semantically isolated. It cannot differentiate between a "focused silence" and a "fatigued silence" because it lacks the biological ground truth. It is reactive, identifying performance drops only after the behavioral tokens signify a change.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Specialist Model A: Physiological Bio-Signal Encoder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Specialist Model A acts as the "Hardware Analyst," processing high-frequency physiological time-series data to determine the user's metabolic and autonomic status.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Technology:</w:t>
      </w:r>
      <w:r w:rsidDel="00000000" w:rsidR="00000000" w:rsidRPr="00000000">
        <w:rPr>
          <w:rFonts w:ascii="Google Sans Text" w:cs="Google Sans Text" w:eastAsia="Google Sans Text" w:hAnsi="Google Sans Text"/>
          <w:color w:val="1f1f1f"/>
          <w:rtl w:val="0"/>
        </w:rPr>
        <w:t xml:space="preserve"> Foundation Models for Biosignals (e.g., NeuroLM, BioFoundation, LUNA).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Moves beyond manual feature extraction to end-to-end learning using Vector Quantized Variational Autoencoders (VQ-VAE).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model "tokenizes" continuous ECG/EEG signals into codebook vectors.</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Loss Function:</w:t>
      </w:r>
      <w:r w:rsidDel="00000000" w:rsidR="00000000" w:rsidRPr="00000000">
        <w:rPr>
          <w:rFonts w:ascii="Google Sans Text" w:cs="Google Sans Text" w:eastAsia="Google Sans Text" w:hAnsi="Google Sans Text"/>
          <w:color w:val="1f1f1f"/>
          <w:rtl w:val="0"/>
        </w:rPr>
        <w:t xml:space="preserve"> The VQ-VAE is trained using a combination of temporal and frequency reconstruction losses: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56149"/>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05500" cy="456149"/>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where </w:t>
      </w:r>
      <w:r w:rsidDel="00000000" w:rsidR="00000000" w:rsidRPr="00000000">
        <w:rPr>
          <w:rFonts w:ascii="Google Sans Text" w:cs="Google Sans Text" w:eastAsia="Google Sans Text" w:hAnsi="Google Sans Text"/>
          <w:color w:val="1f1f1f"/>
        </w:rPr>
        <w:drawing>
          <wp:inline distB="19050" distT="19050" distL="19050" distR="19050">
            <wp:extent cx="375865" cy="231302"/>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75865" cy="23130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stop-gradient operator. This ensures the encoder captures both rhythmic neural oscillations (frequency domain) and transient events like heartbeats (temporal domain).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high-dimensional embedding </w:t>
      </w:r>
      <w:r w:rsidDel="00000000" w:rsidR="00000000" w:rsidRPr="00000000">
        <w:rPr>
          <w:rFonts w:ascii="Google Sans Text" w:cs="Google Sans Text" w:eastAsia="Google Sans Text" w:hAnsi="Google Sans Text"/>
          <w:color w:val="1f1f1f"/>
        </w:rPr>
        <w:drawing>
          <wp:inline distB="19050" distT="19050" distL="19050" distR="19050">
            <wp:extent cx="307851" cy="230888"/>
            <wp:effectExtent b="0" l="0" r="0" t="0"/>
            <wp:docPr id="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07851" cy="23088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representing the user's biological "Operating System" status.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Specialist Model B: Behavioral Semantic Encoder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Specialist Model B serves as the "Software Analyst," processing event-driven linguistic and behavioral data to extract cognitive markers.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Technology:</w:t>
      </w:r>
      <w:r w:rsidDel="00000000" w:rsidR="00000000" w:rsidRPr="00000000">
        <w:rPr>
          <w:rFonts w:ascii="Google Sans Text" w:cs="Google Sans Text" w:eastAsia="Google Sans Text" w:hAnsi="Google Sans Text"/>
          <w:color w:val="1f1f1f"/>
          <w:rtl w:val="0"/>
        </w:rPr>
        <w:t xml:space="preserve"> Distilled Large Language Models (e.g., DistilBERT, quantized Llama-3) optimized for real-time inference.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Performs "Cognitive Phenotyping" by analyzing text for markers of heuristic thinking, cognitive distortions, and social hierarchy signaling.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specifically monitors syntactic complexity; a 2024 study showed that sleep deprivation specifically alters functional connectivity in syntax-related brain networks, leading to simplified sentence structures observable in text.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semantic embedding sequence </w:t>
      </w:r>
      <w:r w:rsidDel="00000000" w:rsidR="00000000" w:rsidRPr="00000000">
        <w:rPr>
          <w:rFonts w:ascii="Google Sans Text" w:cs="Google Sans Text" w:eastAsia="Google Sans Text" w:hAnsi="Google Sans Text"/>
          <w:color w:val="1f1f1f"/>
        </w:rPr>
        <w:drawing>
          <wp:inline distB="19050" distT="19050" distL="19050" distR="19050">
            <wp:extent cx="372666" cy="229333"/>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72666" cy="2293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that represents the user's cognitive intent and mental clarity.</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Proposed Solution: Hybrid Cross-Attention Fusion Model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innovation of this framework is the Hybrid Fusion engine, which utilizes a Multi-Head Cross-Attention Mechanism to bridge the Semantic Gap by grounding language in biology.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A Dual-Branch Transformer where the specialized outputs </w:t>
      </w:r>
      <w:r w:rsidDel="00000000" w:rsidR="00000000" w:rsidRPr="00000000">
        <w:rPr>
          <w:rFonts w:ascii="Google Sans Text" w:cs="Google Sans Text" w:eastAsia="Google Sans Text" w:hAnsi="Google Sans Text"/>
          <w:color w:val="1f1f1f"/>
        </w:rPr>
        <w:drawing>
          <wp:inline distB="19050" distT="19050" distL="19050" distR="19050">
            <wp:extent cx="307851" cy="230888"/>
            <wp:effectExtent b="0" l="0" r="0" t="0"/>
            <wp:docPr id="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07851" cy="23088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372666" cy="229333"/>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72666" cy="2293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are aligned in a shared latent space.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Fusion Mechanism:</w:t>
      </w:r>
      <w:r w:rsidDel="00000000" w:rsidR="00000000" w:rsidRPr="00000000">
        <w:rPr>
          <w:rFonts w:ascii="Google Sans Text" w:cs="Google Sans Text" w:eastAsia="Google Sans Text" w:hAnsi="Google Sans Text"/>
          <w:color w:val="1f1f1f"/>
          <w:rtl w:val="0"/>
        </w:rPr>
        <w:t xml:space="preserve"> Instead of "Late Fusion" (which averages decision scores) or "Early Fusion" (which simply concatenates raw data), we use Cross-Attention to allow one modality to inform the processing of the other.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Mathematical Alignment: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51641"/>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05500" cy="651641"/>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In this implementation, the Text Embeddings act as the Query (</w:t>
      </w:r>
      <w:r w:rsidDel="00000000" w:rsidR="00000000" w:rsidRPr="00000000">
        <w:rPr>
          <w:rFonts w:ascii="Google Sans Text" w:cs="Google Sans Text" w:eastAsia="Google Sans Text" w:hAnsi="Google Sans Text"/>
          <w:color w:val="1f1f1f"/>
        </w:rPr>
        <w:drawing>
          <wp:inline distB="19050" distT="19050" distL="19050" distR="19050">
            <wp:extent cx="145926" cy="233481"/>
            <wp:effectExtent b="0" l="0" r="0" t="0"/>
            <wp:docPr id="1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45926" cy="23348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while the Bio-Embeddings act as the Key (</w:t>
      </w:r>
      <w:r w:rsidDel="00000000" w:rsidR="00000000" w:rsidRPr="00000000">
        <w:rPr>
          <w:rFonts w:ascii="Google Sans Text" w:cs="Google Sans Text" w:eastAsia="Google Sans Text" w:hAnsi="Google Sans Text"/>
          <w:color w:val="1f1f1f"/>
        </w:rPr>
        <w:drawing>
          <wp:inline distB="19050" distT="19050" distL="19050" distR="19050">
            <wp:extent cx="169738" cy="226318"/>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69738" cy="2263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Value (</w:t>
      </w:r>
      <w:r w:rsidDel="00000000" w:rsidR="00000000" w:rsidRPr="00000000">
        <w:rPr>
          <w:rFonts w:ascii="Google Sans Text" w:cs="Google Sans Text" w:eastAsia="Google Sans Text" w:hAnsi="Google Sans Text"/>
          <w:color w:val="1f1f1f"/>
        </w:rPr>
        <w:drawing>
          <wp:inline distB="19050" distT="19050" distL="19050" distR="19050">
            <wp:extent cx="148456" cy="222684"/>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48456" cy="22268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mathematically calculates which specific physiological moments (e.g., an HRV drop) are relevant to specific spoken words, effectively identifying moments of "Neural Overthrow" where behavioral intent is compromised by biological constraints.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Training Objective (Semantic Grounding):</w:t>
      </w:r>
      <w:r w:rsidDel="00000000" w:rsidR="00000000" w:rsidRPr="00000000">
        <w:rPr>
          <w:rFonts w:ascii="Google Sans Text" w:cs="Google Sans Text" w:eastAsia="Google Sans Text" w:hAnsi="Google Sans Text"/>
          <w:color w:val="1f1f1f"/>
          <w:rtl w:val="0"/>
        </w:rPr>
        <w:t xml:space="preserve"> The encoders are trained using InfoNCE Loss to minimize the distance between matching states in the latent space: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43496"/>
            <wp:effectExtent b="0" l="0" r="0" t="0"/>
            <wp:docPr id="1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05500" cy="643496"/>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forces the model to learn that "Anxious Text" and "Anxious Physiology" represent the same underlying state, providing the grounding necessary to overcome the symbolic abstraction of unimodal LLMs.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Research Roadmap</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transition from theoretical assessment to a working HDT prototype follows a structured, distributed engineering workflow designed to handle the velocity and variety of multimodal data.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Data Collection and Orchestration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utilizes Apache Kafka with Kafka-ML as its "Central Nervous System," decoupling high-speed bio-sensors from heavy inference engines to ensure low-latency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Distributed Backbone:</w:t>
      </w:r>
      <w:r w:rsidDel="00000000" w:rsidR="00000000" w:rsidRPr="00000000">
        <w:rPr>
          <w:rFonts w:ascii="Google Sans Text" w:cs="Google Sans Text" w:eastAsia="Google Sans Text" w:hAnsi="Google Sans Text"/>
          <w:color w:val="1f1f1f"/>
          <w:rtl w:val="0"/>
        </w:rPr>
        <w:t xml:space="preserve"> Kafka topics are partitioned by UserID to manage high-throughput streams (EEG/ECG at 500Hz) alongside sporadic event-driven semantic logs.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Sensor Suite:</w:t>
      </w:r>
      <w:r w:rsidDel="00000000" w:rsidR="00000000" w:rsidRPr="00000000">
        <w:rPr>
          <w:rFonts w:ascii="Google Sans Text" w:cs="Google Sans Text" w:eastAsia="Google Sans Text" w:hAnsi="Google Sans Text"/>
          <w:color w:val="1f1f1f"/>
          <w:rtl w:val="0"/>
        </w:rPr>
        <w:t xml:space="preserve"> Deploy wearable devices (Empatica E4/Apple Watch) for PPG, EDA, and acceleration.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Integrate chat APIs (Slack, Email) for linguistic ingestion and system logs for behavioral metrics.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Contextual situating:</w:t>
      </w:r>
      <w:r w:rsidDel="00000000" w:rsidR="00000000" w:rsidRPr="00000000">
        <w:rPr>
          <w:rFonts w:ascii="Google Sans Text" w:cs="Google Sans Text" w:eastAsia="Google Sans Text" w:hAnsi="Google Sans Text"/>
          <w:color w:val="1f1f1f"/>
          <w:rtl w:val="0"/>
        </w:rPr>
        <w:t xml:space="preserve"> GPS and app usage logs are collected to situating biological signals within physical reality, enabling the system to distinguish between metabolic arousal from exercise and cognitive arousal from a difficult task.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Multi-Tier Pre-processing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Preprocessing occurs at the edge layer to minimize bandwidth and ensure real-time synchronization between asynchronous streams.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Signal Ingestion:</w:t>
      </w:r>
      <w:r w:rsidDel="00000000" w:rsidR="00000000" w:rsidRPr="00000000">
        <w:rPr>
          <w:rFonts w:ascii="Google Sans Text" w:cs="Google Sans Text" w:eastAsia="Google Sans Text" w:hAnsi="Google Sans Text"/>
          <w:color w:val="1f1f1f"/>
          <w:rtl w:val="0"/>
        </w:rPr>
        <w:t xml:space="preserve"> Apply Kalman Filters to raw bio-signals to remove motion artifacts and baseline drift.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Execute Voice Activity Detection (VAD) to filter silence from audio streams, optimizing semantic processing.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Tokenization:</w:t>
      </w:r>
      <w:r w:rsidDel="00000000" w:rsidR="00000000" w:rsidRPr="00000000">
        <w:rPr>
          <w:rFonts w:ascii="Google Sans Text" w:cs="Google Sans Text" w:eastAsia="Google Sans Text" w:hAnsi="Google Sans Text"/>
          <w:color w:val="1f1f1f"/>
          <w:rtl w:val="0"/>
        </w:rPr>
        <w:t xml:space="preserve"> Continuous signals are discretized using the pre-trained VQ-VAE tokenizer from Specialist Model 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Synchronization:</w:t>
      </w:r>
      <w:r w:rsidDel="00000000" w:rsidR="00000000" w:rsidRPr="00000000">
        <w:rPr>
          <w:rFonts w:ascii="Google Sans Text" w:cs="Google Sans Text" w:eastAsia="Google Sans Text" w:hAnsi="Google Sans Text"/>
          <w:color w:val="1f1f1f"/>
          <w:rtl w:val="0"/>
        </w:rPr>
        <w:t xml:space="preserve"> We implement Dynamic Time Warping (DTW) to align the high-frequency bio-stream with the sporadic linguistic stream.</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anchors a 5-minute window of physiology around each linguistic event, capturing the "anticipatory" phase (before the action) and the "recovery" phase (after the 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Implement a Medallion Architecture in a Data Lake (Bronze: Raw, Silver: Cleaned/Synchronized, Gold: Feature-rich aggregates).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Model Training and Instruction Tuning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training paradigm leverages transfer learning from large-scale foundation models to reduce the need for specialized labeled data.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Contrastive Alignment:</w:t>
      </w:r>
      <w:r w:rsidDel="00000000" w:rsidR="00000000" w:rsidRPr="00000000">
        <w:rPr>
          <w:rFonts w:ascii="Google Sans Text" w:cs="Google Sans Text" w:eastAsia="Google Sans Text" w:hAnsi="Google Sans Text"/>
          <w:color w:val="1f1f1f"/>
          <w:rtl w:val="0"/>
        </w:rPr>
        <w:t xml:space="preserve"> Encoders are trained on public datasets (DEAP, WESAD, MOSEI) using the InfoNCE objective to establish a baseline for grounded emotion and stress detection.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Multi-Task Instruction Tuning:</w:t>
      </w:r>
      <w:r w:rsidDel="00000000" w:rsidR="00000000" w:rsidRPr="00000000">
        <w:rPr>
          <w:rFonts w:ascii="Google Sans Text" w:cs="Google Sans Text" w:eastAsia="Google Sans Text" w:hAnsi="Google Sans Text"/>
          <w:color w:val="1f1f1f"/>
          <w:rtl w:val="0"/>
        </w:rPr>
        <w:t xml:space="preserve"> Specialist Model A (NeuroLM) undergoes joint instruction tuning on diverse tasks—abnormality detection, emotion recognition, and cognitive workload classification—allowing a single model instance to handle multiple dimensions of the productivity state.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Fusion Optimization:</w:t>
      </w:r>
      <w:r w:rsidDel="00000000" w:rsidR="00000000" w:rsidRPr="00000000">
        <w:rPr>
          <w:rFonts w:ascii="Google Sans Text" w:cs="Google Sans Text" w:eastAsia="Google Sans Text" w:hAnsi="Google Sans Text"/>
          <w:color w:val="1f1f1f"/>
          <w:rtl w:val="0"/>
        </w:rPr>
        <w:t xml:space="preserve"> The Cross-Attention layer is trained to recognize idiosyncratic patterns of "Neural Overthrow," learning how different users uniquely manifest stress and focus across modalities.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Validation and Performance Metrics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is validated against rigorous technical and academic benchmarks to ensure industrial scalability and predictive precision.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Classification Accuracy:</w:t>
      </w:r>
      <w:r w:rsidDel="00000000" w:rsidR="00000000" w:rsidRPr="00000000">
        <w:rPr>
          <w:rFonts w:ascii="Google Sans Text" w:cs="Google Sans Text" w:eastAsia="Google Sans Text" w:hAnsi="Google Sans Text"/>
          <w:color w:val="1f1f1f"/>
          <w:rtl w:val="0"/>
        </w:rPr>
        <w:t xml:space="preserve"> Target </w:t>
      </w:r>
      <w:r w:rsidDel="00000000" w:rsidR="00000000" w:rsidRPr="00000000">
        <w:rPr>
          <w:rFonts w:ascii="Google Sans Text" w:cs="Google Sans Text" w:eastAsia="Google Sans Text" w:hAnsi="Google Sans Text"/>
          <w:color w:val="1f1f1f"/>
        </w:rPr>
        <w:drawing>
          <wp:inline distB="19050" distT="19050" distL="19050" distR="19050">
            <wp:extent cx="532730" cy="218800"/>
            <wp:effectExtent b="0" l="0" r="0" t="0"/>
            <wp:docPr id="1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32730" cy="2188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for multimodal state detection (e.g., Stress vs. Flow), significantly outperforming the </w:t>
      </w:r>
      <w:r w:rsidDel="00000000" w:rsidR="00000000" w:rsidRPr="00000000">
        <w:rPr>
          <w:rFonts w:ascii="Google Sans Text" w:cs="Google Sans Text" w:eastAsia="Google Sans Text" w:hAnsi="Google Sans Text"/>
          <w:color w:val="1f1f1f"/>
        </w:rPr>
        <w:drawing>
          <wp:inline distB="19050" distT="19050" distL="19050" distR="19050">
            <wp:extent cx="532730" cy="218800"/>
            <wp:effectExtent b="0" l="0" r="0" t="0"/>
            <wp:docPr id="1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32730" cy="2188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baseline of unimodal or late-fusion systems.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w:t>
      </w:r>
      <w:r w:rsidDel="00000000" w:rsidR="00000000" w:rsidRPr="00000000">
        <w:rPr>
          <w:rFonts w:ascii="Google Sans Text" w:cs="Google Sans Text" w:eastAsia="Google Sans Text" w:hAnsi="Google Sans Text"/>
          <w:color w:val="1f1f1f"/>
          <w:rtl w:val="0"/>
        </w:rPr>
        <w:t xml:space="preserve"> Target end-to-end latency of </w:t>
      </w:r>
      <w:r w:rsidDel="00000000" w:rsidR="00000000" w:rsidRPr="00000000">
        <w:rPr>
          <w:rFonts w:ascii="Google Sans Text" w:cs="Google Sans Text" w:eastAsia="Google Sans Text" w:hAnsi="Google Sans Text"/>
          <w:color w:val="1f1f1f"/>
        </w:rPr>
        <w:drawing>
          <wp:inline distB="19050" distT="19050" distL="19050" distR="19050">
            <wp:extent cx="286941" cy="219988"/>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86941" cy="21998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seconds from sensor ingestion to state update, ensuring that intervention alerts (e.g., "PFC Shielding") are actionable.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Modality Collapse Ratio:</w:t>
      </w:r>
      <w:r w:rsidDel="00000000" w:rsidR="00000000" w:rsidRPr="00000000">
        <w:rPr>
          <w:rFonts w:ascii="Google Sans Text" w:cs="Google Sans Text" w:eastAsia="Google Sans Text" w:hAnsi="Google Sans Text"/>
          <w:color w:val="1f1f1f"/>
          <w:rtl w:val="0"/>
        </w:rPr>
        <w:t xml:space="preserve"> We test robustness by intentionally removing one data stream (e.g., removing the EDA sensor). A performance drop of </w:t>
      </w:r>
      <w:r w:rsidDel="00000000" w:rsidR="00000000" w:rsidRPr="00000000">
        <w:rPr>
          <w:rFonts w:ascii="Google Sans Text" w:cs="Google Sans Text" w:eastAsia="Google Sans Text" w:hAnsi="Google Sans Text"/>
          <w:color w:val="1f1f1f"/>
        </w:rPr>
        <w:drawing>
          <wp:inline distB="19050" distT="19050" distL="19050" distR="19050">
            <wp:extent cx="532730" cy="218800"/>
            <wp:effectExtent b="0" l="0" r="0" t="0"/>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32730" cy="2188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confirms that the model is successfully fusing both modalities rather than over-relying on text.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Throughput:</w:t>
      </w:r>
      <w:r w:rsidDel="00000000" w:rsidR="00000000" w:rsidRPr="00000000">
        <w:rPr>
          <w:rFonts w:ascii="Google Sans Text" w:cs="Google Sans Text" w:eastAsia="Google Sans Text" w:hAnsi="Google Sans Text"/>
          <w:color w:val="1f1f1f"/>
          <w:rtl w:val="0"/>
        </w:rPr>
        <w:t xml:space="preserve"> The system must handle </w:t>
      </w:r>
      <w:r w:rsidDel="00000000" w:rsidR="00000000" w:rsidRPr="00000000">
        <w:rPr>
          <w:rFonts w:ascii="Google Sans Text" w:cs="Google Sans Text" w:eastAsia="Google Sans Text" w:hAnsi="Google Sans Text"/>
          <w:color w:val="1f1f1f"/>
        </w:rPr>
        <w:drawing>
          <wp:inline distB="19050" distT="19050" distL="19050" distR="19050">
            <wp:extent cx="737815" cy="220386"/>
            <wp:effectExtent b="0" l="0" r="0" t="0"/>
            <wp:docPr id="1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737815" cy="22038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events per second (EPS) to support simultaneous deployment across large teams in high-stakes professional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and Functional Applications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"Distributed Multi-Modal Framework for Behavioral and Biological Analysis" represents a paradigm shift from simple productivity monitoring to deep bio-behavioral symbiosis. By bridging the Semantic Gap through Hybrid Cross-Attention, the Human Digital Twin provides a precise, real-time forecast of an individual’s cognitive capacity and productive ceiling.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industry implications are profound, manifesting in three distinct "Interaction Tiers".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At Tier 1, a "Bio-Aware Workstation" could automatically silence notifications and simplify visual UI complexity upon detecting high frustration and cognitive load via pupil dilation and SCL spikes.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At Tier 2, empathetic IoT environments can regulate a user's biology in real-time, adjusting lighting to "Circadian Cool-Down" modes to lower cortisol or dropping room temperature to trigger parasympathetic recovery.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Finally, Tier 3 anticipates the future of Brain-Computer Interfaces (BCI) by using the HDT as a "Neural Proxy," training deep learning models to decode intent through a fusion of sub-vocalization and gaze vectors.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Ultimately, this research transforms the human agent from a passive operator of technology into the central, adaptive input for the computational ecosystem itself.</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Behavioral Analysis Framework</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Fusion with LLMs for Engagement Prediction in Natural Conversation - Human Sensing Laboratory, accessed January 29, 2026, </w:t>
      </w:r>
      <w:hyperlink r:id="rId23">
        <w:r w:rsidDel="00000000" w:rsidR="00000000" w:rsidRPr="00000000">
          <w:rPr>
            <w:rFonts w:ascii="Google Sans" w:cs="Google Sans" w:eastAsia="Google Sans" w:hAnsi="Google Sans"/>
            <w:color w:val="0000ee"/>
            <w:sz w:val="24"/>
            <w:szCs w:val="24"/>
            <w:u w:val="single"/>
            <w:rtl w:val="0"/>
          </w:rPr>
          <w:t xml:space="preserve">http://www.humansensing.cs.cmu.edu/sites/default/files/cmu-icmi25w-camera-ready.pdf</w:t>
        </w:r>
      </w:hyperlink>
      <w:r w:rsidDel="00000000" w:rsidR="00000000" w:rsidRPr="00000000">
        <w:rPr>
          <w:rtl w:val="0"/>
        </w:rPr>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Literature Review of Modalities, Trends, and Limitations in Emotion Recognition, Affective Computing, and Sentiment Analysis - MDPI, accessed January 29, 2026, </w:t>
      </w:r>
      <w:hyperlink r:id="rId24">
        <w:r w:rsidDel="00000000" w:rsidR="00000000" w:rsidRPr="00000000">
          <w:rPr>
            <w:rFonts w:ascii="Google Sans" w:cs="Google Sans" w:eastAsia="Google Sans" w:hAnsi="Google Sans"/>
            <w:color w:val="0000ee"/>
            <w:sz w:val="24"/>
            <w:szCs w:val="24"/>
            <w:u w:val="single"/>
            <w:rtl w:val="0"/>
          </w:rPr>
          <w:t xml:space="preserve">https://www.mdpi.com/2076-3417/14/16/7165</w:t>
        </w:r>
      </w:hyperlink>
      <w:r w:rsidDel="00000000" w:rsidR="00000000" w:rsidRPr="00000000">
        <w:rPr>
          <w:rtl w:val="0"/>
        </w:rPr>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Literature Review</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Dataset Registry for Behavioral Modeling (Secondary Data)</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Advances in Multimodal Deep Learning for Stress Prediction: Toward Cycle-Aware and Gender-Sensitive Health Analytics, accessed January 29, 2026, </w:t>
      </w:r>
      <w:hyperlink r:id="rId25">
        <w:r w:rsidDel="00000000" w:rsidR="00000000" w:rsidRPr="00000000">
          <w:rPr>
            <w:rFonts w:ascii="Google Sans" w:cs="Google Sans" w:eastAsia="Google Sans" w:hAnsi="Google Sans"/>
            <w:color w:val="0000ee"/>
            <w:sz w:val="24"/>
            <w:szCs w:val="24"/>
            <w:u w:val="single"/>
            <w:rtl w:val="0"/>
          </w:rPr>
          <w:t xml:space="preserve">https://www.epj-conferences.org/articles/epjconf/pdf/2025/26/epjconf_icatcict2025_01059.pdf</w:t>
        </w:r>
      </w:hyperlink>
      <w:r w:rsidDel="00000000" w:rsidR="00000000" w:rsidRPr="00000000">
        <w:rPr>
          <w:rtl w:val="0"/>
        </w:rPr>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Affective Computing and Emotional Data: Challenges and Implications in Privacy Regulations, The AI Act, and Ethics in Large Language Models - arXiv, accessed January 29, 2026, </w:t>
      </w:r>
      <w:hyperlink r:id="rId26">
        <w:r w:rsidDel="00000000" w:rsidR="00000000" w:rsidRPr="00000000">
          <w:rPr>
            <w:rFonts w:ascii="Google Sans" w:cs="Google Sans" w:eastAsia="Google Sans" w:hAnsi="Google Sans"/>
            <w:color w:val="0000ee"/>
            <w:sz w:val="24"/>
            <w:szCs w:val="24"/>
            <w:u w:val="single"/>
            <w:rtl w:val="0"/>
          </w:rPr>
          <w:t xml:space="preserve">https://arxiv.org/html/2509.20153v1</w:t>
        </w:r>
      </w:hyperlink>
      <w:r w:rsidDel="00000000" w:rsidR="00000000" w:rsidRPr="00000000">
        <w:rPr>
          <w:rtl w:val="0"/>
        </w:rPr>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NeurIPT: Foundation Model for Neural Interfaces, accessed January 29, 2026, </w:t>
      </w:r>
      <w:hyperlink r:id="rId27">
        <w:r w:rsidDel="00000000" w:rsidR="00000000" w:rsidRPr="00000000">
          <w:rPr>
            <w:rFonts w:ascii="Google Sans" w:cs="Google Sans" w:eastAsia="Google Sans" w:hAnsi="Google Sans"/>
            <w:color w:val="0000ee"/>
            <w:sz w:val="24"/>
            <w:szCs w:val="24"/>
            <w:u w:val="single"/>
            <w:rtl w:val="0"/>
          </w:rPr>
          <w:t xml:space="preserve">https://neurips.cc/virtual/2025/poster/119245</w:t>
        </w:r>
      </w:hyperlink>
      <w:r w:rsidDel="00000000" w:rsidR="00000000" w:rsidRPr="00000000">
        <w:rPr>
          <w:rtl w:val="0"/>
        </w:rPr>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Framework Research Proposal</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Affective Computing Research Methodology</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Research Literature Review on Research Papers</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NEUROLM: A UNIVERSAL MULTI-TASK FOUNDATION MODEL FOR BRIDGING THE GAP BETWEEN LAN- GUAGE AND EEG SIGNALS - ICLR Proceedings, accessed January 29, 2026, </w:t>
      </w:r>
      <w:hyperlink r:id="rId28">
        <w:r w:rsidDel="00000000" w:rsidR="00000000" w:rsidRPr="00000000">
          <w:rPr>
            <w:rFonts w:ascii="Google Sans" w:cs="Google Sans" w:eastAsia="Google Sans" w:hAnsi="Google Sans"/>
            <w:color w:val="0000ee"/>
            <w:sz w:val="24"/>
            <w:szCs w:val="24"/>
            <w:u w:val="single"/>
            <w:rtl w:val="0"/>
          </w:rPr>
          <w:t xml:space="preserve">https://proceedings.iclr.cc/paper_files/paper/2025/file/8b4add8b0aa8749d80a34ca5d941c355-Paper-Conference.pdf</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Proceedings - ICMI 2025 :: 27th ACM International Conference on Multimodal Interaction, accessed January 29, 2026, </w:t>
      </w:r>
      <w:hyperlink r:id="rId29">
        <w:r w:rsidDel="00000000" w:rsidR="00000000" w:rsidRPr="00000000">
          <w:rPr>
            <w:rFonts w:ascii="Google Sans" w:cs="Google Sans" w:eastAsia="Google Sans" w:hAnsi="Google Sans"/>
            <w:color w:val="0000ee"/>
            <w:sz w:val="24"/>
            <w:szCs w:val="24"/>
            <w:u w:val="single"/>
            <w:rtl w:val="0"/>
          </w:rPr>
          <w:t xml:space="preserve">https://icmi.acm.org/2025/proceedings/</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neurolm - arXiv, accessed January 29, 2026, </w:t>
      </w:r>
      <w:hyperlink r:id="rId30">
        <w:r w:rsidDel="00000000" w:rsidR="00000000" w:rsidRPr="00000000">
          <w:rPr>
            <w:rFonts w:ascii="Google Sans" w:cs="Google Sans" w:eastAsia="Google Sans" w:hAnsi="Google Sans"/>
            <w:color w:val="0000ee"/>
            <w:sz w:val="24"/>
            <w:szCs w:val="24"/>
            <w:u w:val="single"/>
            <w:rtl w:val="0"/>
          </w:rPr>
          <w:t xml:space="preserve">https://arxiv.org/pdf/2409.00101</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BioFoundation: Foundation Models for Biosignals - Thorir Mar Ingolfsson, accessed January 29, 2026, </w:t>
      </w:r>
      <w:hyperlink r:id="rId31">
        <w:r w:rsidDel="00000000" w:rsidR="00000000" w:rsidRPr="00000000">
          <w:rPr>
            <w:rFonts w:ascii="Google Sans" w:cs="Google Sans" w:eastAsia="Google Sans" w:hAnsi="Google Sans"/>
            <w:color w:val="0000ee"/>
            <w:sz w:val="24"/>
            <w:szCs w:val="24"/>
            <w:u w:val="single"/>
            <w:rtl w:val="0"/>
          </w:rPr>
          <w:t xml:space="preserve">https://thorirmar.com/project/biofoundation/</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Multi-Stage Multi-Codebook VQ-VAE Approach to High-Performance Neural TTS - ISCA Archive, accessed January 29, 2026, </w:t>
      </w:r>
      <w:hyperlink r:id="rId32">
        <w:r w:rsidDel="00000000" w:rsidR="00000000" w:rsidRPr="00000000">
          <w:rPr>
            <w:rFonts w:ascii="Google Sans" w:cs="Google Sans" w:eastAsia="Google Sans" w:hAnsi="Google Sans"/>
            <w:color w:val="0000ee"/>
            <w:sz w:val="24"/>
            <w:szCs w:val="24"/>
            <w:u w:val="single"/>
            <w:rtl w:val="0"/>
          </w:rPr>
          <w:t xml:space="preserve">https://www.isca-archive.org/interspeech_2022/guo22d_interspeech.pdf</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Cross-Attention Fusion - Emergent Mind, accessed January 29, 2026, </w:t>
      </w:r>
      <w:hyperlink r:id="rId33">
        <w:r w:rsidDel="00000000" w:rsidR="00000000" w:rsidRPr="00000000">
          <w:rPr>
            <w:rFonts w:ascii="Google Sans" w:cs="Google Sans" w:eastAsia="Google Sans" w:hAnsi="Google Sans"/>
            <w:color w:val="0000ee"/>
            <w:sz w:val="24"/>
            <w:szCs w:val="24"/>
            <w:u w:val="single"/>
            <w:rtl w:val="0"/>
          </w:rPr>
          <w:t xml:space="preserve">https://www.emergentmind.com/topics/cross-attention-fusion</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 attention for Text and Image Multimodal data fusion - Stanford University, accessed January 29, 2026, </w:t>
      </w:r>
      <w:hyperlink r:id="rId34">
        <w:r w:rsidDel="00000000" w:rsidR="00000000" w:rsidRPr="00000000">
          <w:rPr>
            <w:rFonts w:ascii="Google Sans" w:cs="Google Sans" w:eastAsia="Google Sans" w:hAnsi="Google Sans"/>
            <w:color w:val="0000ee"/>
            <w:sz w:val="24"/>
            <w:szCs w:val="24"/>
            <w:u w:val="single"/>
            <w:rtl w:val="0"/>
          </w:rPr>
          <w:t xml:space="preserve">https://web.stanford.edu/class/archive/cs/cs224n/cs224n.1254/final-reports/256711050.pdf</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orchestration of Machine Learning frameworks with data streams and GPU acceleration in Kafka‐ML: A deep‐learning performance comparative - ResearchGate, accessed January 29, 2026,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https://www.researchgate.net/publication/369269186_The_orchestration_of_Machine_Learning_frameworks_with_data_streams_and_GPU_acceleration_in_Kafka-ML_A_deep-learning_performance_comparative</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physiological signal emotion recognition based on multi-head cross attention with representation learning - PubMed, accessed January 29, 2026, </w:t>
      </w:r>
      <w:hyperlink r:id="rId36">
        <w:r w:rsidDel="00000000" w:rsidR="00000000" w:rsidRPr="00000000">
          <w:rPr>
            <w:rFonts w:ascii="Google Sans" w:cs="Google Sans" w:eastAsia="Google Sans" w:hAnsi="Google Sans"/>
            <w:color w:val="0000ee"/>
            <w:sz w:val="24"/>
            <w:szCs w:val="24"/>
            <w:u w:val="single"/>
            <w:rtl w:val="0"/>
          </w:rPr>
          <w:t xml:space="preserve">https://pubmed.ncbi.nlm.nih.gov/41458017/</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physiological signal emotion recognition based on multi-head cross attention with representation learning - NIH, accessed January 29, 2026,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https://pmc.ncbi.nlm.nih.gov/articles/PMC12739757/</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Outcome: Affective Computing with Behavioral and Biological System Analysis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8.png"/><Relationship Id="rId21" Type="http://schemas.openxmlformats.org/officeDocument/2006/relationships/image" Target="media/image7.png"/><Relationship Id="rId24" Type="http://schemas.openxmlformats.org/officeDocument/2006/relationships/hyperlink" Target="https://www.mdpi.com/2076-3417/14/16/7165" TargetMode="External"/><Relationship Id="rId23" Type="http://schemas.openxmlformats.org/officeDocument/2006/relationships/hyperlink" Target="http://www.humansensing.cs.cmu.edu/sites/default/files/cmu-icmi25w-camera-ready.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arxiv.org/html/2509.20153v1" TargetMode="External"/><Relationship Id="rId25" Type="http://schemas.openxmlformats.org/officeDocument/2006/relationships/hyperlink" Target="https://www.epj-conferences.org/articles/epjconf/pdf/2025/26/epjconf_icatcict2025_01059.pdf" TargetMode="External"/><Relationship Id="rId28" Type="http://schemas.openxmlformats.org/officeDocument/2006/relationships/hyperlink" Target="https://proceedings.iclr.cc/paper_files/paper/2025/file/8b4add8b0aa8749d80a34ca5d941c355-Paper-Conference.pdf" TargetMode="External"/><Relationship Id="rId27" Type="http://schemas.openxmlformats.org/officeDocument/2006/relationships/hyperlink" Target="https://neurips.cc/virtual/2025/poster/119245"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icmi.acm.org/2025/proceedings/" TargetMode="External"/><Relationship Id="rId7" Type="http://schemas.openxmlformats.org/officeDocument/2006/relationships/image" Target="media/image17.png"/><Relationship Id="rId8" Type="http://schemas.openxmlformats.org/officeDocument/2006/relationships/image" Target="media/image14.png"/><Relationship Id="rId31" Type="http://schemas.openxmlformats.org/officeDocument/2006/relationships/hyperlink" Target="https://thorirmar.com/project/biofoundation/" TargetMode="External"/><Relationship Id="rId30" Type="http://schemas.openxmlformats.org/officeDocument/2006/relationships/hyperlink" Target="https://arxiv.org/pdf/2409.00101" TargetMode="External"/><Relationship Id="rId11" Type="http://schemas.openxmlformats.org/officeDocument/2006/relationships/image" Target="media/image12.png"/><Relationship Id="rId33" Type="http://schemas.openxmlformats.org/officeDocument/2006/relationships/hyperlink" Target="https://www.emergentmind.com/topics/cross-attention-fusion" TargetMode="External"/><Relationship Id="rId10" Type="http://schemas.openxmlformats.org/officeDocument/2006/relationships/image" Target="media/image5.png"/><Relationship Id="rId32" Type="http://schemas.openxmlformats.org/officeDocument/2006/relationships/hyperlink" Target="https://www.isca-archive.org/interspeech_2022/guo22d_interspeech.pdf" TargetMode="External"/><Relationship Id="rId13" Type="http://schemas.openxmlformats.org/officeDocument/2006/relationships/image" Target="media/image3.png"/><Relationship Id="rId35" Type="http://schemas.openxmlformats.org/officeDocument/2006/relationships/hyperlink" Target="https://www.researchgate.net/publication/369269186_The_orchestration_of_Machine_Learning_frameworks_with_data_streams_and_GPU_acceleration_in_Kafka-ML_A_deep-learning_performance_comparative" TargetMode="External"/><Relationship Id="rId12" Type="http://schemas.openxmlformats.org/officeDocument/2006/relationships/image" Target="media/image10.png"/><Relationship Id="rId34" Type="http://schemas.openxmlformats.org/officeDocument/2006/relationships/hyperlink" Target="https://web.stanford.edu/class/archive/cs/cs224n/cs224n.1254/final-reports/256711050.pdf" TargetMode="External"/><Relationship Id="rId15" Type="http://schemas.openxmlformats.org/officeDocument/2006/relationships/image" Target="media/image1.png"/><Relationship Id="rId37" Type="http://schemas.openxmlformats.org/officeDocument/2006/relationships/hyperlink" Target="https://pmc.ncbi.nlm.nih.gov/articles/PMC12739757/" TargetMode="External"/><Relationship Id="rId14" Type="http://schemas.openxmlformats.org/officeDocument/2006/relationships/image" Target="media/image13.png"/><Relationship Id="rId36" Type="http://schemas.openxmlformats.org/officeDocument/2006/relationships/hyperlink" Target="https://pubmed.ncbi.nlm.nih.gov/41458017/" TargetMode="External"/><Relationship Id="rId17" Type="http://schemas.openxmlformats.org/officeDocument/2006/relationships/image" Target="media/image16.png"/><Relationship Id="rId16" Type="http://schemas.openxmlformats.org/officeDocument/2006/relationships/image" Target="media/image2.png"/><Relationship Id="rId19" Type="http://schemas.openxmlformats.org/officeDocument/2006/relationships/image" Target="media/image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